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Patricia Delgado, BSN, RN</w:t>
      </w:r>
    </w:p>
    <w:p>
      <w:pPr>
        <w:spacing w:after="180"/>
        <w:jc w:val="center"/>
      </w:pPr>
      <w:r>
        <w:rPr>
          <w:sz w:val="20"/>
        </w:rPr>
        <w:t>Phoenix, AZ  |  (602) 555-0187  |  patricia.delgado.rn@gmail.com  |  linkedin.com/in/patriciadelgadorn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Emergency department RN with 24 years of experience across Level I and Level II trauma centers. Spent the last 11 years at a Level I academic trauma center, serving as a clinical resource for trauma activations and mentoring three generations of new graduate nurses. Deliberately stayed at the bedside rather than moving into management, and bring that depth of hands-on judgment to every shift. Not looking to leave direct patient care, looking for a unit that values that choice.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LICENSURE &amp; CERTIFICATIONS</w:t>
      </w:r>
    </w:p>
    <w:p>
      <w:pPr>
        <w:pStyle w:val="ListBullet"/>
        <w:spacing w:after="20"/>
      </w:pPr>
      <w:r>
        <w:rPr>
          <w:sz w:val="20"/>
        </w:rPr>
        <w:t>RN License – Arizona, active, compact eligible</w:t>
      </w:r>
    </w:p>
    <w:p>
      <w:pPr>
        <w:pStyle w:val="ListBullet"/>
        <w:spacing w:after="20"/>
      </w:pPr>
      <w:r>
        <w:rPr>
          <w:sz w:val="20"/>
        </w:rPr>
        <w:t>CEN (Certified Emergency Nurse) – BCEN, current through 2028</w:t>
      </w:r>
    </w:p>
    <w:p>
      <w:pPr>
        <w:pStyle w:val="ListBullet"/>
        <w:spacing w:after="20"/>
      </w:pPr>
      <w:r>
        <w:rPr>
          <w:sz w:val="20"/>
        </w:rPr>
        <w:t>TNCC (Trauma Nursing Core Course) – current through 2027</w:t>
      </w:r>
    </w:p>
    <w:p>
      <w:pPr>
        <w:pStyle w:val="ListBullet"/>
        <w:spacing w:after="20"/>
      </w:pPr>
      <w:r>
        <w:rPr>
          <w:sz w:val="20"/>
        </w:rPr>
        <w:t>BLS/ACLS/PALS – American Heart Association, current through 2027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EXPERIENCE</w:t>
      </w:r>
    </w:p>
    <w:p>
      <w:pPr>
        <w:spacing w:before="100" w:after="0"/>
      </w:pPr>
      <w:r>
        <w:rPr>
          <w:b/>
          <w:sz w:val="21"/>
        </w:rPr>
        <w:t>Registered Nurse, Emergency Department</w:t>
      </w:r>
    </w:p>
    <w:p>
      <w:pPr>
        <w:spacing w:after="40"/>
      </w:pPr>
      <w:r>
        <w:rPr>
          <w:i/>
          <w:sz w:val="19"/>
        </w:rPr>
        <w:t>Sonoran Regional Medical Center, Phoenix, AZ — Sep 2013 to Present</w:t>
      </w:r>
    </w:p>
    <w:p>
      <w:pPr>
        <w:pStyle w:val="ListBullet"/>
        <w:spacing w:after="20"/>
      </w:pPr>
      <w:r>
        <w:rPr>
          <w:sz w:val="20"/>
        </w:rPr>
        <w:t>Serve as a clinical resource nurse during trauma activations, coordinating primary and secondary surveys alongside the trauma team</w:t>
      </w:r>
    </w:p>
    <w:p>
      <w:pPr>
        <w:pStyle w:val="ListBullet"/>
        <w:spacing w:after="20"/>
      </w:pPr>
      <w:r>
        <w:rPr>
          <w:sz w:val="20"/>
        </w:rPr>
        <w:t>Precepted more than 25 new graduate nurses over 11 years on this unit, several of whom now precept new nurses themselves</w:t>
      </w:r>
    </w:p>
    <w:p>
      <w:pPr>
        <w:pStyle w:val="ListBullet"/>
        <w:spacing w:after="20"/>
      </w:pPr>
      <w:r>
        <w:rPr>
          <w:sz w:val="20"/>
        </w:rPr>
        <w:t>Recognized a posterior circulation stroke in a patient initially triaged as vertigo, advocating for MRI over a planned discharge, which confirmed the diagnosis before the patient left the department</w:t>
      </w:r>
    </w:p>
    <w:p>
      <w:pPr>
        <w:pStyle w:val="ListBullet"/>
        <w:spacing w:after="20"/>
      </w:pPr>
      <w:r>
        <w:rPr>
          <w:sz w:val="20"/>
        </w:rPr>
        <w:t>Participate in the department's disaster preparedness planning, including annual mass casualty drills</w:t>
      </w:r>
    </w:p>
    <w:p>
      <w:pPr>
        <w:pStyle w:val="ListBullet"/>
        <w:spacing w:after="20"/>
      </w:pPr>
      <w:r>
        <w:rPr>
          <w:sz w:val="20"/>
        </w:rPr>
        <w:t>Chose to remain in direct patient care through three rounds of internal promotion opportunities, prioritizing bedside expertise over administrative advancement</w:t>
      </w:r>
    </w:p>
    <w:p>
      <w:pPr>
        <w:spacing w:before="100" w:after="0"/>
      </w:pPr>
      <w:r>
        <w:rPr>
          <w:b/>
          <w:sz w:val="21"/>
        </w:rPr>
        <w:t>Registered Nurse, Emergency Department</w:t>
      </w:r>
    </w:p>
    <w:p>
      <w:pPr>
        <w:spacing w:after="40"/>
      </w:pPr>
      <w:r>
        <w:rPr>
          <w:i/>
          <w:sz w:val="19"/>
        </w:rPr>
        <w:t>Desert Valley Medical Center, Phoenix, AZ — Mar 2004 to Sep 2013</w:t>
      </w:r>
    </w:p>
    <w:p>
      <w:pPr>
        <w:pStyle w:val="ListBullet"/>
        <w:spacing w:after="20"/>
      </w:pPr>
      <w:r>
        <w:rPr>
          <w:sz w:val="20"/>
        </w:rPr>
        <w:t>Managed high-volume emergency department shifts in a safety-net hospital setting, including significant trauma, toxicology, and behavioral health volume</w:t>
      </w:r>
    </w:p>
    <w:p>
      <w:pPr>
        <w:pStyle w:val="ListBullet"/>
        <w:spacing w:after="20"/>
      </w:pPr>
      <w:r>
        <w:rPr>
          <w:sz w:val="20"/>
        </w:rPr>
        <w:t>Completed CEN and TNCC certifications during this period</w:t>
      </w:r>
    </w:p>
    <w:p>
      <w:pPr>
        <w:pStyle w:val="ListBullet"/>
        <w:spacing w:after="20"/>
      </w:pPr>
      <w:r>
        <w:rPr>
          <w:sz w:val="20"/>
        </w:rPr>
        <w:t>Served as a preceptor and informal mentor for nurses transitioning from med-surg into emergency nursing</w:t>
      </w:r>
    </w:p>
    <w:p>
      <w:pPr>
        <w:spacing w:before="100" w:after="0"/>
      </w:pPr>
      <w:r>
        <w:rPr>
          <w:b/>
          <w:sz w:val="21"/>
        </w:rPr>
        <w:t>Registered Nurse, Medical-Surgical Unit</w:t>
      </w:r>
    </w:p>
    <w:p>
      <w:pPr>
        <w:spacing w:after="40"/>
      </w:pPr>
      <w:r>
        <w:rPr>
          <w:i/>
          <w:sz w:val="19"/>
        </w:rPr>
        <w:t>Camelback Community Hospital, Phoenix, AZ — Jul 2001 to Mar 2004</w:t>
      </w:r>
    </w:p>
    <w:p>
      <w:pPr>
        <w:pStyle w:val="ListBullet"/>
        <w:spacing w:after="20"/>
      </w:pPr>
      <w:r>
        <w:rPr>
          <w:sz w:val="20"/>
        </w:rPr>
        <w:t>Began nursing career on a general medical-surgical unit before transitioning into emergency nursing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Arizona State University, Tempe, AZ — Graduated May 2001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SKILLS</w:t>
      </w:r>
    </w:p>
    <w:p>
      <w:pPr>
        <w:pStyle w:val="ListBullet"/>
        <w:spacing w:after="20"/>
      </w:pPr>
      <w:r>
        <w:rPr>
          <w:sz w:val="20"/>
        </w:rPr>
        <w:t>Trauma activation coordination</w:t>
      </w:r>
    </w:p>
    <w:p>
      <w:pPr>
        <w:pStyle w:val="ListBullet"/>
        <w:spacing w:after="20"/>
      </w:pPr>
      <w:r>
        <w:rPr>
          <w:sz w:val="20"/>
        </w:rPr>
        <w:t>Precepting and mentorship across three nursing generations</w:t>
      </w:r>
    </w:p>
    <w:p>
      <w:pPr>
        <w:pStyle w:val="ListBullet"/>
        <w:spacing w:after="20"/>
      </w:pPr>
      <w:r>
        <w:rPr>
          <w:sz w:val="20"/>
        </w:rPr>
        <w:t>Toxicology and behavioral health emergency care</w:t>
      </w:r>
    </w:p>
    <w:p>
      <w:pPr>
        <w:pStyle w:val="ListBullet"/>
        <w:spacing w:after="20"/>
      </w:pPr>
      <w:r>
        <w:rPr>
          <w:sz w:val="20"/>
        </w:rPr>
        <w:t>Disaster preparedness</w:t>
      </w:r>
    </w:p>
    <w:p>
      <w:pPr>
        <w:pStyle w:val="ListBullet"/>
        <w:spacing w:after="20"/>
      </w:pPr>
      <w:r>
        <w:rPr>
          <w:sz w:val="20"/>
        </w:rPr>
        <w:t>Epic EHR</w:t>
      </w:r>
    </w:p>
    <w:p>
      <w:pPr>
        <w:pStyle w:val="ListBullet"/>
        <w:spacing w:after="20"/>
      </w:pPr>
      <w:r>
        <w:rPr>
          <w:sz w:val="20"/>
        </w:rPr>
        <w:t>BLS/ACLS/PALS/CEN/TNCC</w:t>
      </w:r>
    </w:p>
    <w:sectPr w:rsidR="00FC693F" w:rsidRPr="0006063C" w:rsidSect="0003461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